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A507D" w14:textId="792635D2" w:rsidR="0090689C" w:rsidRPr="0090689C" w:rsidRDefault="0090689C" w:rsidP="00DF5665">
      <w:pPr>
        <w:jc w:val="both"/>
        <w:rPr>
          <w:b/>
          <w:bCs/>
          <w:sz w:val="28"/>
          <w:szCs w:val="28"/>
        </w:rPr>
      </w:pPr>
      <w:r w:rsidRPr="0090689C">
        <w:rPr>
          <w:b/>
          <w:bCs/>
          <w:sz w:val="28"/>
          <w:szCs w:val="28"/>
        </w:rPr>
        <w:t>Protected Disclosures</w:t>
      </w:r>
    </w:p>
    <w:p w14:paraId="48EE7849" w14:textId="773CBA35" w:rsidR="00F82272" w:rsidRDefault="00F82272" w:rsidP="00DF5665">
      <w:pPr>
        <w:jc w:val="both"/>
      </w:pPr>
      <w:r w:rsidRPr="00F82272">
        <w:t xml:space="preserve">A protected disclosure, as set out in section 5 of the Protected Disclosures Act 2014 (as amended), is a disclosure of information which, in the reasonable belief of a worker, </w:t>
      </w:r>
      <w:r>
        <w:t xml:space="preserve">or </w:t>
      </w:r>
      <w:r w:rsidRPr="0090689C">
        <w:t>a person who is or was in a work-based relationship with an organisation</w:t>
      </w:r>
      <w:r>
        <w:t xml:space="preserve">, </w:t>
      </w:r>
      <w:r w:rsidRPr="00F82272">
        <w:t xml:space="preserve">tends to show one or more relevant wrongdoings; came to the attention of the worker in a work-related context; and </w:t>
      </w:r>
      <w:r w:rsidR="00677CE6">
        <w:t xml:space="preserve">the information </w:t>
      </w:r>
      <w:r w:rsidRPr="00F82272">
        <w:t>is disclosed in the manner prescribed in the Act.</w:t>
      </w:r>
    </w:p>
    <w:p w14:paraId="2C03688E" w14:textId="2E8CD6C4" w:rsidR="00BC1ECC" w:rsidRDefault="00677CE6" w:rsidP="00DF5665">
      <w:pPr>
        <w:jc w:val="both"/>
      </w:pPr>
      <w:r w:rsidRPr="00677CE6">
        <w:t xml:space="preserve">The Act requires all public bodies to establish, maintain and operate internal </w:t>
      </w:r>
      <w:r>
        <w:t xml:space="preserve">&amp; </w:t>
      </w:r>
      <w:r w:rsidR="001104C8">
        <w:t>external</w:t>
      </w:r>
      <w:r>
        <w:t xml:space="preserve"> </w:t>
      </w:r>
      <w:r w:rsidRPr="00677CE6">
        <w:t>reporting channels and Procedures to allow for the making of disclosures and for follow-up.</w:t>
      </w:r>
      <w:r>
        <w:t xml:space="preserve"> </w:t>
      </w:r>
      <w:r w:rsidR="0090689C">
        <w:t xml:space="preserve">The Port of Cork Company </w:t>
      </w:r>
      <w:r w:rsidR="0090689C" w:rsidRPr="0090689C">
        <w:t>has established internal reporting channels and procedures in accordance with the Act</w:t>
      </w:r>
      <w:r w:rsidR="00BC1ECC">
        <w:t>.</w:t>
      </w:r>
    </w:p>
    <w:p w14:paraId="6A738586" w14:textId="6C17EAC0" w:rsidR="009770F6" w:rsidRDefault="009770F6" w:rsidP="00DF5665">
      <w:pPr>
        <w:jc w:val="both"/>
      </w:pPr>
      <w:r>
        <w:t>The Port informs all relevant designated directors and holders of designated positions of employment of their obligations under the Protected Disclosures Act all of whom are required to report any wrongdoing or malpractice they encounter in the course of their duties. They must do so through these established internal reporting channels and procedures</w:t>
      </w:r>
      <w:r w:rsidR="00BC1ECC">
        <w:t xml:space="preserve"> and this</w:t>
      </w:r>
      <w:r w:rsidR="00BC1ECC" w:rsidRPr="00BC1ECC">
        <w:t xml:space="preserve"> </w:t>
      </w:r>
      <w:r w:rsidR="00BC1ECC">
        <w:t xml:space="preserve">forms part of our </w:t>
      </w:r>
      <w:r w:rsidR="00BC1ECC" w:rsidRPr="001104C8">
        <w:rPr>
          <w:color w:val="FF0000"/>
        </w:rPr>
        <w:t>Ethical Behaviour suite of policies</w:t>
      </w:r>
      <w:r w:rsidR="00BC1ECC">
        <w:t>.</w:t>
      </w:r>
    </w:p>
    <w:p w14:paraId="1E7E6CCE" w14:textId="77777777" w:rsidR="00030523" w:rsidRDefault="006A4B17" w:rsidP="00DF5665">
      <w:pPr>
        <w:jc w:val="both"/>
      </w:pPr>
      <w:r>
        <w:t xml:space="preserve">Every </w:t>
      </w:r>
      <w:r w:rsidRPr="00D3630E">
        <w:t xml:space="preserve">year </w:t>
      </w:r>
      <w:r>
        <w:t>u</w:t>
      </w:r>
      <w:r w:rsidRPr="0090689C">
        <w:t xml:space="preserve">nder section 22(5) </w:t>
      </w:r>
      <w:r w:rsidR="00A90792">
        <w:t xml:space="preserve">of the Protected Disclosures Act we </w:t>
      </w:r>
      <w:r>
        <w:t xml:space="preserve">are required </w:t>
      </w:r>
      <w:r w:rsidRPr="00D3630E">
        <w:t>to collect and publish statistics</w:t>
      </w:r>
      <w:r w:rsidR="00A90792">
        <w:t xml:space="preserve"> and </w:t>
      </w:r>
      <w:r w:rsidR="0090689C" w:rsidRPr="0090689C">
        <w:t xml:space="preserve">publish </w:t>
      </w:r>
      <w:r w:rsidR="00A90792">
        <w:t xml:space="preserve">these </w:t>
      </w:r>
      <w:r w:rsidR="0090689C" w:rsidRPr="0090689C">
        <w:t xml:space="preserve">on our website </w:t>
      </w:r>
      <w:r w:rsidR="0090689C">
        <w:t>by 31</w:t>
      </w:r>
      <w:r w:rsidR="0090689C" w:rsidRPr="0090689C">
        <w:rPr>
          <w:vertAlign w:val="superscript"/>
        </w:rPr>
        <w:t>st</w:t>
      </w:r>
      <w:r w:rsidR="0090689C">
        <w:t xml:space="preserve"> March </w:t>
      </w:r>
      <w:r w:rsidR="0090689C" w:rsidRPr="0090689C">
        <w:t>in respect of the immediately preceding calendar year</w:t>
      </w:r>
      <w:r w:rsidR="00A90792">
        <w:t xml:space="preserve">. </w:t>
      </w:r>
      <w:r w:rsidR="0090689C">
        <w:t xml:space="preserve">The Port has provided </w:t>
      </w:r>
      <w:r w:rsidR="00A90792">
        <w:t xml:space="preserve">our </w:t>
      </w:r>
      <w:r w:rsidR="00A90792" w:rsidRPr="0090689C">
        <w:t>report on Protected Disclosures</w:t>
      </w:r>
      <w:r w:rsidR="00A90792">
        <w:t xml:space="preserve"> </w:t>
      </w:r>
      <w:r w:rsidR="00030523">
        <w:t>containing t</w:t>
      </w:r>
      <w:r w:rsidR="0090689C">
        <w:t xml:space="preserve">he </w:t>
      </w:r>
      <w:r w:rsidR="0090689C" w:rsidRPr="0090689C">
        <w:t xml:space="preserve">information </w:t>
      </w:r>
      <w:r w:rsidR="00F82272" w:rsidRPr="00F82272">
        <w:t>required under section 22(1) of the Act to</w:t>
      </w:r>
      <w:r w:rsidR="00F82272">
        <w:t xml:space="preserve"> </w:t>
      </w:r>
      <w:r w:rsidR="0090689C" w:rsidRPr="0090689C">
        <w:t>the Minister for Public Expenditure, NDP Delivery and Reform</w:t>
      </w:r>
      <w:r w:rsidR="00030523">
        <w:t xml:space="preserve">. This we have provided </w:t>
      </w:r>
      <w:r w:rsidR="0090689C" w:rsidRPr="0090689C">
        <w:t xml:space="preserve">in the </w:t>
      </w:r>
      <w:r w:rsidR="00F82272">
        <w:t xml:space="preserve">mandatory </w:t>
      </w:r>
      <w:r w:rsidR="00F82272" w:rsidRPr="00F82272">
        <w:t>format developed for public bodies, prescribed persons and the Commissioner</w:t>
      </w:r>
      <w:r w:rsidR="00030523">
        <w:t>.</w:t>
      </w:r>
    </w:p>
    <w:tbl>
      <w:tblPr>
        <w:tblStyle w:val="TableGrid"/>
        <w:tblW w:w="0" w:type="auto"/>
        <w:tblLook w:val="04A0" w:firstRow="1" w:lastRow="0" w:firstColumn="1" w:lastColumn="0" w:noHBand="0" w:noVBand="1"/>
      </w:tblPr>
      <w:tblGrid>
        <w:gridCol w:w="3005"/>
        <w:gridCol w:w="3005"/>
        <w:gridCol w:w="3006"/>
      </w:tblGrid>
      <w:tr w:rsidR="0090689C" w:rsidRPr="0090689C" w14:paraId="48A56B04" w14:textId="77777777" w:rsidTr="0090689C">
        <w:tc>
          <w:tcPr>
            <w:tcW w:w="3005" w:type="dxa"/>
          </w:tcPr>
          <w:p w14:paraId="00BA2375" w14:textId="4800A619" w:rsidR="0090689C" w:rsidRPr="0090689C" w:rsidRDefault="0090689C" w:rsidP="00DF5665">
            <w:pPr>
              <w:spacing w:before="120" w:after="120"/>
              <w:jc w:val="both"/>
              <w:rPr>
                <w:b/>
                <w:bCs/>
              </w:rPr>
            </w:pPr>
            <w:r w:rsidRPr="0090689C">
              <w:rPr>
                <w:b/>
                <w:bCs/>
              </w:rPr>
              <w:t xml:space="preserve">Year </w:t>
            </w:r>
          </w:p>
        </w:tc>
        <w:tc>
          <w:tcPr>
            <w:tcW w:w="3005" w:type="dxa"/>
          </w:tcPr>
          <w:p w14:paraId="7FEEED22" w14:textId="117DCC33" w:rsidR="0090689C" w:rsidRPr="0090689C" w:rsidRDefault="0090689C" w:rsidP="00DF5665">
            <w:pPr>
              <w:spacing w:before="120" w:after="120"/>
              <w:jc w:val="both"/>
              <w:rPr>
                <w:b/>
                <w:bCs/>
              </w:rPr>
            </w:pPr>
            <w:r w:rsidRPr="0090689C">
              <w:rPr>
                <w:b/>
                <w:bCs/>
              </w:rPr>
              <w:t>No. reported</w:t>
            </w:r>
          </w:p>
        </w:tc>
        <w:tc>
          <w:tcPr>
            <w:tcW w:w="3006" w:type="dxa"/>
          </w:tcPr>
          <w:p w14:paraId="0C0C22F3" w14:textId="77777777" w:rsidR="0090689C" w:rsidRPr="0090689C" w:rsidRDefault="0090689C" w:rsidP="00DF5665">
            <w:pPr>
              <w:spacing w:before="120" w:after="120"/>
              <w:jc w:val="both"/>
              <w:rPr>
                <w:b/>
                <w:bCs/>
              </w:rPr>
            </w:pPr>
          </w:p>
        </w:tc>
      </w:tr>
      <w:tr w:rsidR="0090689C" w14:paraId="0C6AB5B0" w14:textId="77777777" w:rsidTr="0090689C">
        <w:tc>
          <w:tcPr>
            <w:tcW w:w="3005" w:type="dxa"/>
          </w:tcPr>
          <w:p w14:paraId="0D074EC6" w14:textId="0E36ED98" w:rsidR="0090689C" w:rsidRDefault="0090689C" w:rsidP="00DF5665">
            <w:pPr>
              <w:spacing w:before="120" w:after="120"/>
              <w:jc w:val="both"/>
            </w:pPr>
            <w:r>
              <w:t>2023</w:t>
            </w:r>
          </w:p>
        </w:tc>
        <w:tc>
          <w:tcPr>
            <w:tcW w:w="3005" w:type="dxa"/>
          </w:tcPr>
          <w:p w14:paraId="6C65BEFE" w14:textId="226FB8EE" w:rsidR="0090689C" w:rsidRDefault="0090689C" w:rsidP="00DF5665">
            <w:pPr>
              <w:spacing w:before="120" w:after="120"/>
              <w:jc w:val="both"/>
            </w:pPr>
            <w:r>
              <w:t>Nil (0)</w:t>
            </w:r>
          </w:p>
        </w:tc>
        <w:tc>
          <w:tcPr>
            <w:tcW w:w="3006" w:type="dxa"/>
          </w:tcPr>
          <w:p w14:paraId="165D17E7" w14:textId="77777777" w:rsidR="0090689C" w:rsidRDefault="0090689C" w:rsidP="00DF5665">
            <w:pPr>
              <w:spacing w:before="120" w:after="120"/>
              <w:jc w:val="both"/>
            </w:pPr>
          </w:p>
        </w:tc>
      </w:tr>
      <w:tr w:rsidR="0090689C" w14:paraId="60FADE1E" w14:textId="77777777" w:rsidTr="00524EB6">
        <w:tc>
          <w:tcPr>
            <w:tcW w:w="3005" w:type="dxa"/>
          </w:tcPr>
          <w:p w14:paraId="6B319B59" w14:textId="77777777" w:rsidR="0090689C" w:rsidRDefault="0090689C" w:rsidP="00DF5665">
            <w:pPr>
              <w:spacing w:before="120" w:after="120"/>
              <w:jc w:val="both"/>
            </w:pPr>
            <w:r>
              <w:t>2024</w:t>
            </w:r>
          </w:p>
        </w:tc>
        <w:tc>
          <w:tcPr>
            <w:tcW w:w="3005" w:type="dxa"/>
          </w:tcPr>
          <w:p w14:paraId="69219D71" w14:textId="51A428F7" w:rsidR="0090689C" w:rsidRDefault="0090689C" w:rsidP="00DF5665">
            <w:pPr>
              <w:spacing w:before="120" w:after="120"/>
              <w:jc w:val="both"/>
            </w:pPr>
            <w:r>
              <w:t>One (1)</w:t>
            </w:r>
          </w:p>
        </w:tc>
        <w:tc>
          <w:tcPr>
            <w:tcW w:w="3006" w:type="dxa"/>
          </w:tcPr>
          <w:p w14:paraId="49A1D87C" w14:textId="77777777" w:rsidR="0090689C" w:rsidRDefault="0090689C" w:rsidP="00DF5665">
            <w:pPr>
              <w:spacing w:before="120" w:after="120"/>
              <w:jc w:val="both"/>
            </w:pPr>
          </w:p>
        </w:tc>
      </w:tr>
      <w:tr w:rsidR="0090689C" w14:paraId="4E6DB4D9" w14:textId="77777777" w:rsidTr="00524EB6">
        <w:tc>
          <w:tcPr>
            <w:tcW w:w="3005" w:type="dxa"/>
          </w:tcPr>
          <w:p w14:paraId="13281345" w14:textId="175F3258" w:rsidR="0090689C" w:rsidRDefault="0090689C" w:rsidP="00DF5665">
            <w:pPr>
              <w:spacing w:before="120" w:after="120"/>
              <w:jc w:val="both"/>
            </w:pPr>
            <w:r>
              <w:t>2025</w:t>
            </w:r>
          </w:p>
        </w:tc>
        <w:tc>
          <w:tcPr>
            <w:tcW w:w="3005" w:type="dxa"/>
          </w:tcPr>
          <w:p w14:paraId="037806E7" w14:textId="77777777" w:rsidR="0090689C" w:rsidRDefault="0090689C" w:rsidP="00DF5665">
            <w:pPr>
              <w:spacing w:before="120" w:after="120"/>
              <w:jc w:val="both"/>
            </w:pPr>
          </w:p>
        </w:tc>
        <w:tc>
          <w:tcPr>
            <w:tcW w:w="3006" w:type="dxa"/>
          </w:tcPr>
          <w:p w14:paraId="2EAD6E50" w14:textId="77777777" w:rsidR="0090689C" w:rsidRDefault="0090689C" w:rsidP="00DF5665">
            <w:pPr>
              <w:spacing w:before="120" w:after="120"/>
              <w:jc w:val="both"/>
            </w:pPr>
          </w:p>
        </w:tc>
      </w:tr>
      <w:tr w:rsidR="0090689C" w14:paraId="1BD2E1C9" w14:textId="77777777" w:rsidTr="0090689C">
        <w:tc>
          <w:tcPr>
            <w:tcW w:w="3005" w:type="dxa"/>
          </w:tcPr>
          <w:p w14:paraId="74C8E053" w14:textId="3E1B7AD7" w:rsidR="0090689C" w:rsidRDefault="0090689C" w:rsidP="00DF5665">
            <w:pPr>
              <w:spacing w:before="120" w:after="120"/>
              <w:jc w:val="both"/>
            </w:pPr>
            <w:r>
              <w:t>2026</w:t>
            </w:r>
          </w:p>
        </w:tc>
        <w:tc>
          <w:tcPr>
            <w:tcW w:w="3005" w:type="dxa"/>
          </w:tcPr>
          <w:p w14:paraId="5952C39E" w14:textId="77777777" w:rsidR="0090689C" w:rsidRDefault="0090689C" w:rsidP="00DF5665">
            <w:pPr>
              <w:spacing w:before="120" w:after="120"/>
              <w:jc w:val="both"/>
            </w:pPr>
          </w:p>
        </w:tc>
        <w:tc>
          <w:tcPr>
            <w:tcW w:w="3006" w:type="dxa"/>
          </w:tcPr>
          <w:p w14:paraId="57275ACA" w14:textId="77777777" w:rsidR="0090689C" w:rsidRDefault="0090689C" w:rsidP="00DF5665">
            <w:pPr>
              <w:spacing w:before="120" w:after="120"/>
              <w:jc w:val="both"/>
            </w:pPr>
          </w:p>
        </w:tc>
      </w:tr>
    </w:tbl>
    <w:p w14:paraId="0E625AC0" w14:textId="77777777" w:rsidR="0090689C" w:rsidRPr="0090689C" w:rsidRDefault="0090689C" w:rsidP="00DF5665">
      <w:pPr>
        <w:jc w:val="both"/>
      </w:pPr>
    </w:p>
    <w:p w14:paraId="743C6EF0" w14:textId="77777777" w:rsidR="0090689C" w:rsidRDefault="0090689C" w:rsidP="00DF5665">
      <w:pPr>
        <w:jc w:val="both"/>
      </w:pPr>
    </w:p>
    <w:p w14:paraId="79389F24" w14:textId="77777777" w:rsidR="0090689C" w:rsidRDefault="0090689C" w:rsidP="00DF5665">
      <w:pPr>
        <w:jc w:val="both"/>
      </w:pPr>
    </w:p>
    <w:p w14:paraId="45743CBC" w14:textId="77777777" w:rsidR="0090689C" w:rsidRDefault="0090689C" w:rsidP="00DF5665">
      <w:pPr>
        <w:jc w:val="both"/>
      </w:pPr>
    </w:p>
    <w:p w14:paraId="2B3E87F8" w14:textId="77777777" w:rsidR="0090689C" w:rsidRDefault="0090689C" w:rsidP="00DF5665">
      <w:pPr>
        <w:jc w:val="both"/>
      </w:pPr>
    </w:p>
    <w:sectPr w:rsidR="009068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14EAD"/>
    <w:multiLevelType w:val="hybridMultilevel"/>
    <w:tmpl w:val="181AE49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500533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89C"/>
    <w:rsid w:val="00030523"/>
    <w:rsid w:val="000F3CCA"/>
    <w:rsid w:val="001104C8"/>
    <w:rsid w:val="003E6E0E"/>
    <w:rsid w:val="00403C33"/>
    <w:rsid w:val="00543E01"/>
    <w:rsid w:val="00677CE6"/>
    <w:rsid w:val="006A4B17"/>
    <w:rsid w:val="00844553"/>
    <w:rsid w:val="0090689C"/>
    <w:rsid w:val="009327E2"/>
    <w:rsid w:val="009770F6"/>
    <w:rsid w:val="00A90792"/>
    <w:rsid w:val="00BC1ECC"/>
    <w:rsid w:val="00DF5665"/>
    <w:rsid w:val="00F822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1FA10"/>
  <w15:chartTrackingRefBased/>
  <w15:docId w15:val="{E09CE848-A6E1-44F6-80C4-599FE313F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68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68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68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68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68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68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68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68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68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8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68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68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68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68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68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68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68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689C"/>
    <w:rPr>
      <w:rFonts w:eastAsiaTheme="majorEastAsia" w:cstheme="majorBidi"/>
      <w:color w:val="272727" w:themeColor="text1" w:themeTint="D8"/>
    </w:rPr>
  </w:style>
  <w:style w:type="paragraph" w:styleId="Title">
    <w:name w:val="Title"/>
    <w:basedOn w:val="Normal"/>
    <w:next w:val="Normal"/>
    <w:link w:val="TitleChar"/>
    <w:uiPriority w:val="10"/>
    <w:qFormat/>
    <w:rsid w:val="009068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68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68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68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689C"/>
    <w:pPr>
      <w:spacing w:before="160"/>
      <w:jc w:val="center"/>
    </w:pPr>
    <w:rPr>
      <w:i/>
      <w:iCs/>
      <w:color w:val="404040" w:themeColor="text1" w:themeTint="BF"/>
    </w:rPr>
  </w:style>
  <w:style w:type="character" w:customStyle="1" w:styleId="QuoteChar">
    <w:name w:val="Quote Char"/>
    <w:basedOn w:val="DefaultParagraphFont"/>
    <w:link w:val="Quote"/>
    <w:uiPriority w:val="29"/>
    <w:rsid w:val="0090689C"/>
    <w:rPr>
      <w:i/>
      <w:iCs/>
      <w:color w:val="404040" w:themeColor="text1" w:themeTint="BF"/>
    </w:rPr>
  </w:style>
  <w:style w:type="paragraph" w:styleId="ListParagraph">
    <w:name w:val="List Paragraph"/>
    <w:basedOn w:val="Normal"/>
    <w:uiPriority w:val="34"/>
    <w:qFormat/>
    <w:rsid w:val="0090689C"/>
    <w:pPr>
      <w:ind w:left="720"/>
      <w:contextualSpacing/>
    </w:pPr>
  </w:style>
  <w:style w:type="character" w:styleId="IntenseEmphasis">
    <w:name w:val="Intense Emphasis"/>
    <w:basedOn w:val="DefaultParagraphFont"/>
    <w:uiPriority w:val="21"/>
    <w:qFormat/>
    <w:rsid w:val="0090689C"/>
    <w:rPr>
      <w:i/>
      <w:iCs/>
      <w:color w:val="0F4761" w:themeColor="accent1" w:themeShade="BF"/>
    </w:rPr>
  </w:style>
  <w:style w:type="paragraph" w:styleId="IntenseQuote">
    <w:name w:val="Intense Quote"/>
    <w:basedOn w:val="Normal"/>
    <w:next w:val="Normal"/>
    <w:link w:val="IntenseQuoteChar"/>
    <w:uiPriority w:val="30"/>
    <w:qFormat/>
    <w:rsid w:val="009068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689C"/>
    <w:rPr>
      <w:i/>
      <w:iCs/>
      <w:color w:val="0F4761" w:themeColor="accent1" w:themeShade="BF"/>
    </w:rPr>
  </w:style>
  <w:style w:type="character" w:styleId="IntenseReference">
    <w:name w:val="Intense Reference"/>
    <w:basedOn w:val="DefaultParagraphFont"/>
    <w:uiPriority w:val="32"/>
    <w:qFormat/>
    <w:rsid w:val="0090689C"/>
    <w:rPr>
      <w:b/>
      <w:bCs/>
      <w:smallCaps/>
      <w:color w:val="0F4761" w:themeColor="accent1" w:themeShade="BF"/>
      <w:spacing w:val="5"/>
    </w:rPr>
  </w:style>
  <w:style w:type="table" w:styleId="TableGrid">
    <w:name w:val="Table Grid"/>
    <w:basedOn w:val="TableNormal"/>
    <w:uiPriority w:val="39"/>
    <w:rsid w:val="00906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054511">
      <w:bodyDiv w:val="1"/>
      <w:marLeft w:val="0"/>
      <w:marRight w:val="0"/>
      <w:marTop w:val="0"/>
      <w:marBottom w:val="0"/>
      <w:divBdr>
        <w:top w:val="none" w:sz="0" w:space="0" w:color="auto"/>
        <w:left w:val="none" w:sz="0" w:space="0" w:color="auto"/>
        <w:bottom w:val="none" w:sz="0" w:space="0" w:color="auto"/>
        <w:right w:val="none" w:sz="0" w:space="0" w:color="auto"/>
      </w:divBdr>
    </w:div>
    <w:div w:id="1350570624">
      <w:bodyDiv w:val="1"/>
      <w:marLeft w:val="0"/>
      <w:marRight w:val="0"/>
      <w:marTop w:val="0"/>
      <w:marBottom w:val="0"/>
      <w:divBdr>
        <w:top w:val="none" w:sz="0" w:space="0" w:color="auto"/>
        <w:left w:val="none" w:sz="0" w:space="0" w:color="auto"/>
        <w:bottom w:val="none" w:sz="0" w:space="0" w:color="auto"/>
        <w:right w:val="none" w:sz="0" w:space="0" w:color="auto"/>
      </w:divBdr>
    </w:div>
    <w:div w:id="1461218464">
      <w:bodyDiv w:val="1"/>
      <w:marLeft w:val="0"/>
      <w:marRight w:val="0"/>
      <w:marTop w:val="0"/>
      <w:marBottom w:val="0"/>
      <w:divBdr>
        <w:top w:val="none" w:sz="0" w:space="0" w:color="auto"/>
        <w:left w:val="none" w:sz="0" w:space="0" w:color="auto"/>
        <w:bottom w:val="none" w:sz="0" w:space="0" w:color="auto"/>
        <w:right w:val="none" w:sz="0" w:space="0" w:color="auto"/>
      </w:divBdr>
    </w:div>
    <w:div w:id="165263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1500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O'Shaughnessy</dc:creator>
  <cp:keywords/>
  <dc:description/>
  <cp:lastModifiedBy>Sinead Healy</cp:lastModifiedBy>
  <cp:revision>2</cp:revision>
  <dcterms:created xsi:type="dcterms:W3CDTF">2025-03-11T18:01:00Z</dcterms:created>
  <dcterms:modified xsi:type="dcterms:W3CDTF">2025-03-11T18:01:00Z</dcterms:modified>
</cp:coreProperties>
</file>